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79FE" w14:textId="5E835DDB" w:rsidR="003960DD" w:rsidRPr="003960DD" w:rsidRDefault="003960DD" w:rsidP="008D0702">
      <w:pPr>
        <w:pStyle w:val="Default"/>
        <w:rPr>
          <w:b/>
          <w:bCs/>
          <w:sz w:val="36"/>
          <w:szCs w:val="36"/>
        </w:rPr>
      </w:pPr>
      <w:r w:rsidRPr="003960DD">
        <w:rPr>
          <w:b/>
          <w:bCs/>
          <w:sz w:val="36"/>
          <w:szCs w:val="36"/>
        </w:rPr>
        <w:t>Pragma Wealth Management Limited</w:t>
      </w:r>
      <w:r>
        <w:rPr>
          <w:b/>
          <w:bCs/>
          <w:sz w:val="36"/>
          <w:szCs w:val="36"/>
        </w:rPr>
        <w:t xml:space="preserve"> (“Pragma”</w:t>
      </w:r>
      <w:r w:rsidR="005E7200">
        <w:rPr>
          <w:b/>
          <w:bCs/>
          <w:sz w:val="36"/>
          <w:szCs w:val="36"/>
        </w:rPr>
        <w:t xml:space="preserve"> or the “Firm”</w:t>
      </w:r>
      <w:r>
        <w:rPr>
          <w:b/>
          <w:bCs/>
          <w:sz w:val="36"/>
          <w:szCs w:val="36"/>
        </w:rPr>
        <w:t>)</w:t>
      </w:r>
    </w:p>
    <w:p w14:paraId="1123BDE8" w14:textId="77777777" w:rsidR="003960DD" w:rsidRDefault="003960DD" w:rsidP="008D0702">
      <w:pPr>
        <w:pStyle w:val="Default"/>
        <w:rPr>
          <w:b/>
          <w:bCs/>
          <w:i/>
          <w:iCs/>
          <w:sz w:val="22"/>
          <w:szCs w:val="22"/>
        </w:rPr>
      </w:pPr>
    </w:p>
    <w:p w14:paraId="253D0099" w14:textId="0077A407" w:rsidR="008D0702" w:rsidRPr="003960DD" w:rsidRDefault="008D0702" w:rsidP="008D0702">
      <w:pPr>
        <w:pStyle w:val="Default"/>
      </w:pPr>
      <w:r>
        <w:rPr>
          <w:b/>
          <w:bCs/>
          <w:i/>
          <w:iCs/>
          <w:sz w:val="22"/>
          <w:szCs w:val="22"/>
        </w:rPr>
        <w:t xml:space="preserve">RTS 28 </w:t>
      </w:r>
      <w:r w:rsidR="003960DD">
        <w:rPr>
          <w:b/>
          <w:bCs/>
          <w:i/>
          <w:iCs/>
          <w:sz w:val="22"/>
          <w:szCs w:val="22"/>
        </w:rPr>
        <w:t>Disclosure</w:t>
      </w:r>
      <w:r>
        <w:rPr>
          <w:b/>
          <w:bCs/>
          <w:i/>
          <w:iCs/>
          <w:sz w:val="22"/>
          <w:szCs w:val="22"/>
        </w:rPr>
        <w:t>– Calendar Year 201</w:t>
      </w:r>
      <w:r w:rsidR="00620A1D">
        <w:rPr>
          <w:b/>
          <w:bCs/>
          <w:i/>
          <w:iCs/>
          <w:sz w:val="22"/>
          <w:szCs w:val="22"/>
        </w:rPr>
        <w:t>9</w:t>
      </w:r>
    </w:p>
    <w:p w14:paraId="48406427" w14:textId="77777777" w:rsidR="003960DD" w:rsidRDefault="003960DD" w:rsidP="008D0702">
      <w:pPr>
        <w:pStyle w:val="Default"/>
        <w:rPr>
          <w:i/>
          <w:iCs/>
          <w:sz w:val="22"/>
          <w:szCs w:val="22"/>
        </w:rPr>
      </w:pPr>
    </w:p>
    <w:p w14:paraId="304CB909" w14:textId="622FB97E" w:rsidR="008D0702" w:rsidRDefault="003960DD" w:rsidP="008D0702">
      <w:pPr>
        <w:pStyle w:val="Default"/>
        <w:rPr>
          <w:i/>
          <w:iCs/>
          <w:sz w:val="22"/>
          <w:szCs w:val="22"/>
        </w:rPr>
      </w:pPr>
      <w:r>
        <w:rPr>
          <w:i/>
          <w:iCs/>
          <w:sz w:val="22"/>
          <w:szCs w:val="22"/>
        </w:rPr>
        <w:t>As required by COBS 11.2A.39</w:t>
      </w:r>
      <w:r w:rsidR="008D0702">
        <w:rPr>
          <w:i/>
          <w:iCs/>
          <w:sz w:val="22"/>
          <w:szCs w:val="22"/>
        </w:rPr>
        <w:t xml:space="preserve">, investment firms that execute client orders are required to summarise and publish the top five execution venues in terms of trading volumes where they executed client orders in the preceding </w:t>
      </w:r>
      <w:r>
        <w:rPr>
          <w:i/>
          <w:iCs/>
          <w:sz w:val="22"/>
          <w:szCs w:val="22"/>
        </w:rPr>
        <w:t xml:space="preserve">calendar </w:t>
      </w:r>
      <w:r w:rsidR="008D0702">
        <w:rPr>
          <w:i/>
          <w:iCs/>
          <w:sz w:val="22"/>
          <w:szCs w:val="22"/>
        </w:rPr>
        <w:t xml:space="preserve">year, as well as information on the quality of execution obtained. </w:t>
      </w:r>
      <w:r>
        <w:rPr>
          <w:i/>
          <w:iCs/>
          <w:sz w:val="22"/>
          <w:szCs w:val="22"/>
        </w:rPr>
        <w:t xml:space="preserve"> This is widely known as a an RTS 28 disclosure, after the regulatory technical standard that prescribes the specific requirements.</w:t>
      </w:r>
    </w:p>
    <w:p w14:paraId="60AD85BF" w14:textId="77777777" w:rsidR="003960DD" w:rsidRDefault="003960DD" w:rsidP="008D0702">
      <w:pPr>
        <w:pStyle w:val="Default"/>
        <w:rPr>
          <w:sz w:val="22"/>
          <w:szCs w:val="22"/>
        </w:rPr>
      </w:pPr>
    </w:p>
    <w:p w14:paraId="0A6364BE" w14:textId="079B94FA" w:rsidR="008D0702" w:rsidRDefault="003960DD" w:rsidP="008D0702">
      <w:pPr>
        <w:pStyle w:val="Default"/>
        <w:rPr>
          <w:i/>
          <w:iCs/>
          <w:sz w:val="22"/>
          <w:szCs w:val="22"/>
        </w:rPr>
      </w:pPr>
      <w:r>
        <w:rPr>
          <w:i/>
          <w:iCs/>
          <w:sz w:val="22"/>
          <w:szCs w:val="22"/>
        </w:rPr>
        <w:t>Pragma’s</w:t>
      </w:r>
      <w:r w:rsidR="008D0702">
        <w:rPr>
          <w:i/>
          <w:iCs/>
          <w:sz w:val="22"/>
          <w:szCs w:val="22"/>
        </w:rPr>
        <w:t xml:space="preserve"> RTS 28 analysis for the Calendar year 201</w:t>
      </w:r>
      <w:r w:rsidR="00620A1D">
        <w:rPr>
          <w:i/>
          <w:iCs/>
          <w:sz w:val="22"/>
          <w:szCs w:val="22"/>
        </w:rPr>
        <w:t>9</w:t>
      </w:r>
      <w:bookmarkStart w:id="0" w:name="_GoBack"/>
      <w:bookmarkEnd w:id="0"/>
      <w:r w:rsidR="008D0702">
        <w:rPr>
          <w:i/>
          <w:iCs/>
          <w:sz w:val="22"/>
          <w:szCs w:val="22"/>
        </w:rPr>
        <w:t xml:space="preserve"> can be found below. </w:t>
      </w:r>
    </w:p>
    <w:p w14:paraId="775DABA2" w14:textId="7BC0E4E1" w:rsidR="008D0702" w:rsidRDefault="008D0702" w:rsidP="008D0702">
      <w:pPr>
        <w:pStyle w:val="Default"/>
        <w:rPr>
          <w:i/>
          <w:iCs/>
          <w:sz w:val="22"/>
          <w:szCs w:val="22"/>
        </w:rPr>
      </w:pPr>
    </w:p>
    <w:p w14:paraId="321976F6" w14:textId="21221BE6" w:rsidR="001F2D41" w:rsidRPr="001F2D41" w:rsidRDefault="001F2D41" w:rsidP="008D0702">
      <w:pPr>
        <w:pStyle w:val="Default"/>
        <w:rPr>
          <w:b/>
          <w:bCs/>
          <w:i/>
          <w:iCs/>
          <w:sz w:val="22"/>
          <w:szCs w:val="22"/>
        </w:rPr>
      </w:pPr>
      <w:r w:rsidRPr="001F2D41">
        <w:rPr>
          <w:b/>
          <w:bCs/>
          <w:i/>
          <w:iCs/>
          <w:sz w:val="22"/>
          <w:szCs w:val="22"/>
        </w:rPr>
        <w:t>Quantitative Analysis</w:t>
      </w:r>
    </w:p>
    <w:p w14:paraId="765B087B" w14:textId="77777777" w:rsidR="008D0702" w:rsidRDefault="008D0702" w:rsidP="008D0702">
      <w:pPr>
        <w:pStyle w:val="Default"/>
        <w:rPr>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923"/>
        <w:gridCol w:w="2289"/>
        <w:gridCol w:w="2289"/>
        <w:gridCol w:w="2289"/>
        <w:gridCol w:w="2289"/>
      </w:tblGrid>
      <w:tr w:rsidR="001F2D41" w14:paraId="05BB5DDA" w14:textId="77777777" w:rsidTr="006A4812">
        <w:trPr>
          <w:trHeight w:val="279"/>
        </w:trPr>
        <w:tc>
          <w:tcPr>
            <w:tcW w:w="6867" w:type="dxa"/>
            <w:gridSpan w:val="3"/>
          </w:tcPr>
          <w:p w14:paraId="08AD490F" w14:textId="77777777" w:rsidR="001F2D41" w:rsidRDefault="001F2D41">
            <w:pPr>
              <w:pStyle w:val="Default"/>
              <w:rPr>
                <w:sz w:val="22"/>
                <w:szCs w:val="22"/>
              </w:rPr>
            </w:pPr>
            <w:r>
              <w:rPr>
                <w:sz w:val="22"/>
                <w:szCs w:val="22"/>
              </w:rPr>
              <w:t xml:space="preserve">Class of instrument </w:t>
            </w:r>
          </w:p>
        </w:tc>
        <w:tc>
          <w:tcPr>
            <w:tcW w:w="6867" w:type="dxa"/>
            <w:gridSpan w:val="3"/>
          </w:tcPr>
          <w:p w14:paraId="5F6BFA86" w14:textId="1FEF4537" w:rsidR="001F2D41" w:rsidRDefault="001F2D41" w:rsidP="006A4812">
            <w:pPr>
              <w:pStyle w:val="Default"/>
              <w:rPr>
                <w:sz w:val="22"/>
                <w:szCs w:val="22"/>
              </w:rPr>
            </w:pPr>
            <w:r>
              <w:rPr>
                <w:sz w:val="22"/>
                <w:szCs w:val="22"/>
              </w:rPr>
              <w:t xml:space="preserve">(a) </w:t>
            </w:r>
            <w:r w:rsidR="008D5167">
              <w:rPr>
                <w:sz w:val="22"/>
                <w:szCs w:val="22"/>
              </w:rPr>
              <w:t>Swaps, Forwards and Other Currency Derivatives</w:t>
            </w:r>
            <w:r>
              <w:rPr>
                <w:sz w:val="22"/>
                <w:szCs w:val="22"/>
              </w:rPr>
              <w:t xml:space="preserve"> </w:t>
            </w:r>
          </w:p>
          <w:p w14:paraId="4C76D44D" w14:textId="77777777" w:rsidR="001F2D41" w:rsidRDefault="001F2D41">
            <w:pPr>
              <w:pStyle w:val="Default"/>
              <w:rPr>
                <w:sz w:val="22"/>
                <w:szCs w:val="22"/>
              </w:rPr>
            </w:pPr>
          </w:p>
        </w:tc>
      </w:tr>
      <w:tr w:rsidR="001F2D41" w14:paraId="75BB17B1" w14:textId="77777777" w:rsidTr="001F2D41">
        <w:trPr>
          <w:trHeight w:val="253"/>
        </w:trPr>
        <w:tc>
          <w:tcPr>
            <w:tcW w:w="6867" w:type="dxa"/>
            <w:gridSpan w:val="3"/>
          </w:tcPr>
          <w:p w14:paraId="000C1970" w14:textId="77777777" w:rsidR="001F2D41" w:rsidRDefault="001F2D41">
            <w:pPr>
              <w:pStyle w:val="Default"/>
              <w:rPr>
                <w:sz w:val="22"/>
                <w:szCs w:val="22"/>
              </w:rPr>
            </w:pPr>
            <w:r>
              <w:rPr>
                <w:sz w:val="22"/>
                <w:szCs w:val="22"/>
              </w:rPr>
              <w:t xml:space="preserve">Notification if &lt;1 average trade per business day in the previous year </w:t>
            </w:r>
          </w:p>
        </w:tc>
        <w:tc>
          <w:tcPr>
            <w:tcW w:w="6867" w:type="dxa"/>
            <w:gridSpan w:val="3"/>
          </w:tcPr>
          <w:p w14:paraId="6B389BBA" w14:textId="06478ED9" w:rsidR="001F2D41" w:rsidRDefault="008D5167">
            <w:pPr>
              <w:pStyle w:val="Default"/>
              <w:rPr>
                <w:sz w:val="22"/>
                <w:szCs w:val="22"/>
              </w:rPr>
            </w:pPr>
            <w:r>
              <w:rPr>
                <w:b/>
                <w:bCs/>
                <w:sz w:val="22"/>
                <w:szCs w:val="22"/>
              </w:rPr>
              <w:t>Y</w:t>
            </w:r>
          </w:p>
        </w:tc>
      </w:tr>
      <w:tr w:rsidR="001F2D41" w14:paraId="5419B081" w14:textId="77777777" w:rsidTr="006A4812">
        <w:trPr>
          <w:trHeight w:val="533"/>
        </w:trPr>
        <w:tc>
          <w:tcPr>
            <w:tcW w:w="2655" w:type="dxa"/>
          </w:tcPr>
          <w:p w14:paraId="2588E926" w14:textId="77777777" w:rsidR="001F2D41" w:rsidRDefault="001F2D41">
            <w:pPr>
              <w:pStyle w:val="Default"/>
              <w:rPr>
                <w:sz w:val="22"/>
                <w:szCs w:val="22"/>
              </w:rPr>
            </w:pPr>
            <w:r>
              <w:rPr>
                <w:sz w:val="22"/>
                <w:szCs w:val="22"/>
              </w:rPr>
              <w:t xml:space="preserve">Top five execution venues ranked in terms of trading volumes (descending order) </w:t>
            </w:r>
          </w:p>
        </w:tc>
        <w:tc>
          <w:tcPr>
            <w:tcW w:w="1923" w:type="dxa"/>
          </w:tcPr>
          <w:p w14:paraId="1065166C" w14:textId="77777777" w:rsidR="001F2D41" w:rsidRPr="006A4812" w:rsidRDefault="001F2D41">
            <w:pPr>
              <w:pStyle w:val="Default"/>
              <w:rPr>
                <w:sz w:val="22"/>
                <w:szCs w:val="22"/>
              </w:rPr>
            </w:pPr>
            <w:r w:rsidRPr="006A4812">
              <w:rPr>
                <w:sz w:val="22"/>
                <w:szCs w:val="22"/>
              </w:rPr>
              <w:t xml:space="preserve">Proportion of volume traded as a percentage of total in that class </w:t>
            </w:r>
          </w:p>
        </w:tc>
        <w:tc>
          <w:tcPr>
            <w:tcW w:w="2289" w:type="dxa"/>
          </w:tcPr>
          <w:p w14:paraId="1119E8E1" w14:textId="77777777" w:rsidR="001F2D41" w:rsidRPr="006A4812" w:rsidRDefault="001F2D41">
            <w:pPr>
              <w:pStyle w:val="Default"/>
              <w:rPr>
                <w:sz w:val="22"/>
                <w:szCs w:val="22"/>
              </w:rPr>
            </w:pPr>
            <w:r w:rsidRPr="006A4812">
              <w:rPr>
                <w:sz w:val="22"/>
                <w:szCs w:val="22"/>
              </w:rPr>
              <w:t xml:space="preserve">Proportion of orders executed as percentage of total in that class </w:t>
            </w:r>
          </w:p>
        </w:tc>
        <w:tc>
          <w:tcPr>
            <w:tcW w:w="2289" w:type="dxa"/>
          </w:tcPr>
          <w:p w14:paraId="2A07C9B2" w14:textId="77777777" w:rsidR="001F2D41" w:rsidRPr="006A4812" w:rsidRDefault="001F2D41">
            <w:pPr>
              <w:pStyle w:val="Default"/>
              <w:rPr>
                <w:sz w:val="22"/>
                <w:szCs w:val="22"/>
              </w:rPr>
            </w:pPr>
            <w:r w:rsidRPr="006A4812">
              <w:rPr>
                <w:sz w:val="22"/>
                <w:szCs w:val="22"/>
              </w:rPr>
              <w:t xml:space="preserve">Percentage of passive orders </w:t>
            </w:r>
          </w:p>
        </w:tc>
        <w:tc>
          <w:tcPr>
            <w:tcW w:w="2289" w:type="dxa"/>
          </w:tcPr>
          <w:p w14:paraId="07D16FDC" w14:textId="77777777" w:rsidR="001F2D41" w:rsidRPr="006A4812" w:rsidRDefault="001F2D41">
            <w:pPr>
              <w:pStyle w:val="Default"/>
              <w:rPr>
                <w:sz w:val="22"/>
                <w:szCs w:val="22"/>
              </w:rPr>
            </w:pPr>
            <w:r w:rsidRPr="006A4812">
              <w:rPr>
                <w:sz w:val="22"/>
                <w:szCs w:val="22"/>
              </w:rPr>
              <w:t xml:space="preserve">Percentage of aggressive orders </w:t>
            </w:r>
          </w:p>
        </w:tc>
        <w:tc>
          <w:tcPr>
            <w:tcW w:w="2289" w:type="dxa"/>
          </w:tcPr>
          <w:p w14:paraId="08BCF543" w14:textId="77777777" w:rsidR="001F2D41" w:rsidRPr="006A4812" w:rsidRDefault="001F2D41">
            <w:pPr>
              <w:pStyle w:val="Default"/>
              <w:rPr>
                <w:sz w:val="22"/>
                <w:szCs w:val="22"/>
              </w:rPr>
            </w:pPr>
            <w:r w:rsidRPr="006A4812">
              <w:rPr>
                <w:sz w:val="22"/>
                <w:szCs w:val="22"/>
              </w:rPr>
              <w:t xml:space="preserve">Percentage of directed orders </w:t>
            </w:r>
          </w:p>
        </w:tc>
      </w:tr>
      <w:tr w:rsidR="001F2D41" w14:paraId="1FFEFDFA" w14:textId="77777777" w:rsidTr="006A4812">
        <w:trPr>
          <w:trHeight w:val="249"/>
        </w:trPr>
        <w:tc>
          <w:tcPr>
            <w:tcW w:w="2655" w:type="dxa"/>
          </w:tcPr>
          <w:p w14:paraId="7895224C" w14:textId="79D012F7" w:rsidR="001F2D41" w:rsidRDefault="006A4812">
            <w:pPr>
              <w:pStyle w:val="Default"/>
              <w:rPr>
                <w:sz w:val="22"/>
                <w:szCs w:val="22"/>
              </w:rPr>
            </w:pPr>
            <w:r w:rsidRPr="006A4812">
              <w:rPr>
                <w:sz w:val="22"/>
                <w:szCs w:val="22"/>
              </w:rPr>
              <w:t>BNP PARIBAS SECURITIES SERVICES</w:t>
            </w:r>
            <w:r>
              <w:rPr>
                <w:sz w:val="22"/>
                <w:szCs w:val="22"/>
              </w:rPr>
              <w:t>:</w:t>
            </w:r>
            <w:r w:rsidRPr="006A4812">
              <w:rPr>
                <w:sz w:val="22"/>
                <w:szCs w:val="22"/>
              </w:rPr>
              <w:t xml:space="preserve"> LEI </w:t>
            </w:r>
            <w:r>
              <w:rPr>
                <w:sz w:val="22"/>
                <w:szCs w:val="22"/>
              </w:rPr>
              <w:t xml:space="preserve">Code </w:t>
            </w:r>
            <w:r w:rsidRPr="006A4812">
              <w:rPr>
                <w:sz w:val="22"/>
                <w:szCs w:val="22"/>
              </w:rPr>
              <w:t>549300WCGB70D06XZS54</w:t>
            </w:r>
          </w:p>
        </w:tc>
        <w:tc>
          <w:tcPr>
            <w:tcW w:w="1923" w:type="dxa"/>
          </w:tcPr>
          <w:p w14:paraId="0C51AADC" w14:textId="37423B14" w:rsidR="001F2D41" w:rsidRDefault="006A4812">
            <w:pPr>
              <w:pStyle w:val="Default"/>
              <w:rPr>
                <w:sz w:val="22"/>
                <w:szCs w:val="22"/>
              </w:rPr>
            </w:pPr>
            <w:r>
              <w:rPr>
                <w:sz w:val="22"/>
                <w:szCs w:val="22"/>
              </w:rPr>
              <w:t>100</w:t>
            </w:r>
            <w:r w:rsidR="001F2D41">
              <w:rPr>
                <w:sz w:val="22"/>
                <w:szCs w:val="22"/>
              </w:rPr>
              <w:t xml:space="preserve">% </w:t>
            </w:r>
          </w:p>
        </w:tc>
        <w:tc>
          <w:tcPr>
            <w:tcW w:w="2289" w:type="dxa"/>
          </w:tcPr>
          <w:p w14:paraId="3414671B" w14:textId="15BE2AA7" w:rsidR="001F2D41" w:rsidRDefault="006A4812">
            <w:pPr>
              <w:pStyle w:val="Default"/>
              <w:rPr>
                <w:sz w:val="22"/>
                <w:szCs w:val="22"/>
              </w:rPr>
            </w:pPr>
            <w:r>
              <w:rPr>
                <w:sz w:val="22"/>
                <w:szCs w:val="22"/>
              </w:rPr>
              <w:t>100</w:t>
            </w:r>
            <w:r w:rsidR="001F2D41">
              <w:rPr>
                <w:sz w:val="22"/>
                <w:szCs w:val="22"/>
              </w:rPr>
              <w:t xml:space="preserve">% </w:t>
            </w:r>
          </w:p>
        </w:tc>
        <w:tc>
          <w:tcPr>
            <w:tcW w:w="2289" w:type="dxa"/>
          </w:tcPr>
          <w:p w14:paraId="0DC43E98" w14:textId="77777777" w:rsidR="001F2D41" w:rsidRDefault="001F2D41">
            <w:pPr>
              <w:pStyle w:val="Default"/>
              <w:rPr>
                <w:sz w:val="22"/>
                <w:szCs w:val="22"/>
              </w:rPr>
            </w:pPr>
            <w:r>
              <w:rPr>
                <w:sz w:val="22"/>
                <w:szCs w:val="22"/>
              </w:rPr>
              <w:t xml:space="preserve">0% </w:t>
            </w:r>
          </w:p>
        </w:tc>
        <w:tc>
          <w:tcPr>
            <w:tcW w:w="2289" w:type="dxa"/>
          </w:tcPr>
          <w:p w14:paraId="3CA20125" w14:textId="77777777" w:rsidR="001F2D41" w:rsidRDefault="001F2D41">
            <w:pPr>
              <w:pStyle w:val="Default"/>
              <w:rPr>
                <w:sz w:val="22"/>
                <w:szCs w:val="22"/>
              </w:rPr>
            </w:pPr>
            <w:r>
              <w:rPr>
                <w:sz w:val="22"/>
                <w:szCs w:val="22"/>
              </w:rPr>
              <w:t xml:space="preserve">0% </w:t>
            </w:r>
          </w:p>
        </w:tc>
        <w:tc>
          <w:tcPr>
            <w:tcW w:w="2289" w:type="dxa"/>
          </w:tcPr>
          <w:p w14:paraId="2E12BD90" w14:textId="6300D794" w:rsidR="001F2D41" w:rsidRDefault="006A4812">
            <w:pPr>
              <w:pStyle w:val="Default"/>
              <w:rPr>
                <w:sz w:val="22"/>
                <w:szCs w:val="22"/>
              </w:rPr>
            </w:pPr>
            <w:r>
              <w:rPr>
                <w:sz w:val="22"/>
                <w:szCs w:val="22"/>
              </w:rPr>
              <w:t>10</w:t>
            </w:r>
            <w:r w:rsidR="001F2D41">
              <w:rPr>
                <w:sz w:val="22"/>
                <w:szCs w:val="22"/>
              </w:rPr>
              <w:t xml:space="preserve">0% </w:t>
            </w:r>
          </w:p>
        </w:tc>
      </w:tr>
    </w:tbl>
    <w:p w14:paraId="02B1CC78" w14:textId="4DB1169F" w:rsidR="008D0702" w:rsidRDefault="008D0702" w:rsidP="008D0702">
      <w:pPr>
        <w:pStyle w:val="Default"/>
        <w:rPr>
          <w:sz w:val="22"/>
          <w:szCs w:val="22"/>
        </w:rPr>
      </w:pPr>
    </w:p>
    <w:p w14:paraId="1DBDC022" w14:textId="2CA73CC3" w:rsidR="001F2D41" w:rsidRDefault="001F2D41">
      <w:pPr>
        <w:rPr>
          <w:rFonts w:ascii="Calibri" w:hAnsi="Calibri" w:cs="Calibri"/>
          <w:color w:val="000000"/>
        </w:rPr>
      </w:pPr>
      <w:r>
        <w:br w:type="page"/>
      </w:r>
    </w:p>
    <w:p w14:paraId="26D2DB75" w14:textId="58A65DAB" w:rsidR="001F2D41" w:rsidRPr="001F2D41" w:rsidRDefault="001F2D41" w:rsidP="008D0702">
      <w:pPr>
        <w:pStyle w:val="Default"/>
        <w:rPr>
          <w:b/>
          <w:bCs/>
          <w:i/>
          <w:iCs/>
          <w:sz w:val="22"/>
          <w:szCs w:val="22"/>
        </w:rPr>
      </w:pPr>
      <w:r w:rsidRPr="001F2D41">
        <w:rPr>
          <w:b/>
          <w:bCs/>
          <w:i/>
          <w:iCs/>
          <w:sz w:val="22"/>
          <w:szCs w:val="22"/>
        </w:rPr>
        <w:lastRenderedPageBreak/>
        <w:t>Qualitative Analysis</w:t>
      </w:r>
    </w:p>
    <w:p w14:paraId="03CA1032" w14:textId="77777777" w:rsidR="001F2D41" w:rsidRDefault="001F2D41" w:rsidP="008D0702">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7"/>
        <w:gridCol w:w="6867"/>
      </w:tblGrid>
      <w:tr w:rsidR="008D0702" w14:paraId="23CE7922" w14:textId="77777777" w:rsidTr="008D0702">
        <w:trPr>
          <w:trHeight w:val="2490"/>
        </w:trPr>
        <w:tc>
          <w:tcPr>
            <w:tcW w:w="6867" w:type="dxa"/>
          </w:tcPr>
          <w:p w14:paraId="221C71AA" w14:textId="747BDCA6" w:rsidR="008D0702" w:rsidRDefault="005E7200">
            <w:pPr>
              <w:pStyle w:val="Default"/>
              <w:rPr>
                <w:sz w:val="22"/>
                <w:szCs w:val="22"/>
              </w:rPr>
            </w:pPr>
            <w:r>
              <w:rPr>
                <w:b/>
                <w:bCs/>
                <w:sz w:val="22"/>
                <w:szCs w:val="22"/>
              </w:rPr>
              <w:t>A s</w:t>
            </w:r>
            <w:r w:rsidR="008D0702">
              <w:rPr>
                <w:b/>
                <w:bCs/>
                <w:sz w:val="22"/>
                <w:szCs w:val="22"/>
              </w:rPr>
              <w:t xml:space="preserve">ummary of the analysis and conclusions the firm draws from its detailed monitoring of the quality of execution obtained on the execution venues where it executed all client orders in the previous year </w:t>
            </w:r>
          </w:p>
        </w:tc>
        <w:tc>
          <w:tcPr>
            <w:tcW w:w="6867" w:type="dxa"/>
          </w:tcPr>
          <w:p w14:paraId="20E62424" w14:textId="34950E30" w:rsidR="008D0702" w:rsidRDefault="008D0702">
            <w:pPr>
              <w:pStyle w:val="Default"/>
              <w:rPr>
                <w:sz w:val="22"/>
                <w:szCs w:val="22"/>
              </w:rPr>
            </w:pPr>
            <w:r>
              <w:rPr>
                <w:b/>
                <w:bCs/>
                <w:i/>
                <w:iCs/>
                <w:sz w:val="22"/>
                <w:szCs w:val="22"/>
              </w:rPr>
              <w:t xml:space="preserve">Currency Derivatives (Swaps, Forwards, and other Currency Derivatives) </w:t>
            </w:r>
          </w:p>
          <w:p w14:paraId="1F6184E9" w14:textId="77777777" w:rsidR="005E7200" w:rsidRDefault="008D0702">
            <w:pPr>
              <w:pStyle w:val="Default"/>
              <w:rPr>
                <w:i/>
                <w:iCs/>
                <w:sz w:val="22"/>
                <w:szCs w:val="22"/>
              </w:rPr>
            </w:pPr>
            <w:r>
              <w:rPr>
                <w:i/>
                <w:iCs/>
                <w:sz w:val="22"/>
                <w:szCs w:val="22"/>
              </w:rPr>
              <w:t>As part of the Firm’s analysis of best execution in relation to currency derivatives, composite indices consisting of the relevant spot FX and forward FX quotes or fair values of forward points are considered at the point of execution.</w:t>
            </w:r>
          </w:p>
          <w:p w14:paraId="38052C08" w14:textId="4ECCBC52" w:rsidR="008D0702" w:rsidRDefault="008D0702">
            <w:pPr>
              <w:pStyle w:val="Default"/>
              <w:rPr>
                <w:sz w:val="22"/>
                <w:szCs w:val="22"/>
              </w:rPr>
            </w:pPr>
            <w:r>
              <w:rPr>
                <w:i/>
                <w:iCs/>
                <w:sz w:val="22"/>
                <w:szCs w:val="22"/>
              </w:rPr>
              <w:t xml:space="preserve"> </w:t>
            </w:r>
          </w:p>
          <w:p w14:paraId="3976F62A" w14:textId="7B34A06E" w:rsidR="008D0702" w:rsidRDefault="008D0702">
            <w:pPr>
              <w:pStyle w:val="Default"/>
              <w:rPr>
                <w:sz w:val="22"/>
                <w:szCs w:val="22"/>
              </w:rPr>
            </w:pPr>
            <w:r>
              <w:rPr>
                <w:i/>
                <w:iCs/>
                <w:sz w:val="22"/>
                <w:szCs w:val="22"/>
              </w:rPr>
              <w:t xml:space="preserve">The monitoring completed confirmed that best execution was obtained consistently on the approved execution venue throughout the year. </w:t>
            </w:r>
          </w:p>
        </w:tc>
      </w:tr>
      <w:tr w:rsidR="008D0702" w14:paraId="6296A81E" w14:textId="77777777" w:rsidTr="008D0702">
        <w:trPr>
          <w:trHeight w:val="532"/>
        </w:trPr>
        <w:tc>
          <w:tcPr>
            <w:tcW w:w="6867" w:type="dxa"/>
          </w:tcPr>
          <w:p w14:paraId="60B0C1A2" w14:textId="780140FC" w:rsidR="008D0702" w:rsidRDefault="008D0702" w:rsidP="008D0702">
            <w:pPr>
              <w:pStyle w:val="Default"/>
              <w:rPr>
                <w:sz w:val="22"/>
                <w:szCs w:val="22"/>
              </w:rPr>
            </w:pPr>
            <w:r>
              <w:rPr>
                <w:b/>
                <w:bCs/>
                <w:sz w:val="22"/>
                <w:szCs w:val="22"/>
              </w:rPr>
              <w:t xml:space="preserve">An explanation of the relative importance the firm gave to the execution factors of price, costs, speed, likelihood of execution or any other consideration including qualitative factors when assessing the quality of execution </w:t>
            </w:r>
          </w:p>
          <w:p w14:paraId="4309D8F4" w14:textId="77429627" w:rsidR="008D0702" w:rsidRDefault="008D0702">
            <w:pPr>
              <w:pStyle w:val="Default"/>
              <w:rPr>
                <w:sz w:val="22"/>
                <w:szCs w:val="22"/>
              </w:rPr>
            </w:pPr>
          </w:p>
        </w:tc>
        <w:tc>
          <w:tcPr>
            <w:tcW w:w="6867" w:type="dxa"/>
          </w:tcPr>
          <w:p w14:paraId="48A62B68" w14:textId="7EACF4EF" w:rsidR="005E7200" w:rsidRDefault="005E7200" w:rsidP="005E7200">
            <w:pPr>
              <w:pStyle w:val="Default"/>
              <w:rPr>
                <w:i/>
                <w:iCs/>
                <w:sz w:val="22"/>
                <w:szCs w:val="22"/>
              </w:rPr>
            </w:pPr>
            <w:r>
              <w:rPr>
                <w:i/>
                <w:iCs/>
                <w:sz w:val="22"/>
                <w:szCs w:val="22"/>
              </w:rPr>
              <w:t>The</w:t>
            </w:r>
            <w:r w:rsidR="008D0702">
              <w:rPr>
                <w:i/>
                <w:iCs/>
                <w:sz w:val="22"/>
                <w:szCs w:val="22"/>
              </w:rPr>
              <w:t xml:space="preserve"> </w:t>
            </w:r>
            <w:r>
              <w:rPr>
                <w:i/>
                <w:iCs/>
                <w:sz w:val="22"/>
                <w:szCs w:val="22"/>
              </w:rPr>
              <w:t>achievement</w:t>
            </w:r>
            <w:r w:rsidR="008D0702">
              <w:rPr>
                <w:i/>
                <w:iCs/>
                <w:sz w:val="22"/>
                <w:szCs w:val="22"/>
              </w:rPr>
              <w:t xml:space="preserve"> of best execution is a key element in </w:t>
            </w:r>
            <w:r>
              <w:rPr>
                <w:i/>
                <w:iCs/>
                <w:sz w:val="22"/>
                <w:szCs w:val="22"/>
              </w:rPr>
              <w:t>Pragma’s</w:t>
            </w:r>
            <w:r w:rsidR="008D0702">
              <w:rPr>
                <w:i/>
                <w:iCs/>
                <w:sz w:val="22"/>
                <w:szCs w:val="22"/>
              </w:rPr>
              <w:t xml:space="preserve"> commitment to act in the best interests of its clients, as well as being a regulatory requirement. The Firm prioritises ensuring that all sufficient steps are taken to obtain the best possible result for its clients when it executes, places or transmits orders on their behalf. </w:t>
            </w:r>
            <w:r>
              <w:rPr>
                <w:i/>
                <w:iCs/>
                <w:sz w:val="22"/>
                <w:szCs w:val="22"/>
              </w:rPr>
              <w:t>Therefore, Pragma takes into account</w:t>
            </w:r>
            <w:r w:rsidR="008D0702">
              <w:rPr>
                <w:i/>
                <w:iCs/>
                <w:sz w:val="22"/>
                <w:szCs w:val="22"/>
              </w:rPr>
              <w:t xml:space="preserve"> ‘execution factors’ such as price, costs, speed, likelihood of execution and settlement, size, nature or any other consideration relevant to the execution of the order.</w:t>
            </w:r>
          </w:p>
          <w:p w14:paraId="175543F0" w14:textId="2CFB883C" w:rsidR="008D0702" w:rsidRDefault="008D0702" w:rsidP="008D0702">
            <w:pPr>
              <w:pStyle w:val="Default"/>
              <w:rPr>
                <w:sz w:val="22"/>
                <w:szCs w:val="22"/>
              </w:rPr>
            </w:pPr>
            <w:r>
              <w:rPr>
                <w:i/>
                <w:iCs/>
                <w:sz w:val="22"/>
                <w:szCs w:val="22"/>
              </w:rPr>
              <w:t xml:space="preserve"> </w:t>
            </w:r>
          </w:p>
          <w:p w14:paraId="58937EB6" w14:textId="77777777" w:rsidR="005E7200" w:rsidRDefault="008D0702" w:rsidP="008D0702">
            <w:pPr>
              <w:pStyle w:val="Default"/>
              <w:rPr>
                <w:i/>
                <w:iCs/>
                <w:sz w:val="22"/>
                <w:szCs w:val="22"/>
              </w:rPr>
            </w:pPr>
            <w:r>
              <w:rPr>
                <w:i/>
                <w:iCs/>
                <w:sz w:val="22"/>
                <w:szCs w:val="22"/>
              </w:rPr>
              <w:t xml:space="preserve">The relative importance of the execution factors is </w:t>
            </w:r>
            <w:r w:rsidR="005E7200">
              <w:rPr>
                <w:i/>
                <w:iCs/>
                <w:sz w:val="22"/>
                <w:szCs w:val="22"/>
              </w:rPr>
              <w:t>considered</w:t>
            </w:r>
            <w:r>
              <w:rPr>
                <w:i/>
                <w:iCs/>
                <w:sz w:val="22"/>
                <w:szCs w:val="22"/>
              </w:rPr>
              <w:t xml:space="preserve"> on an order-by-order basis </w:t>
            </w:r>
            <w:r w:rsidR="005E7200">
              <w:rPr>
                <w:i/>
                <w:iCs/>
                <w:sz w:val="22"/>
                <w:szCs w:val="22"/>
              </w:rPr>
              <w:t>subject to</w:t>
            </w:r>
            <w:r>
              <w:rPr>
                <w:i/>
                <w:iCs/>
                <w:sz w:val="22"/>
                <w:szCs w:val="22"/>
              </w:rPr>
              <w:t xml:space="preserve"> </w:t>
            </w:r>
            <w:r w:rsidR="005E7200">
              <w:rPr>
                <w:i/>
                <w:iCs/>
                <w:sz w:val="22"/>
                <w:szCs w:val="22"/>
              </w:rPr>
              <w:t>Pragma’s</w:t>
            </w:r>
            <w:r>
              <w:rPr>
                <w:i/>
                <w:iCs/>
                <w:sz w:val="22"/>
                <w:szCs w:val="22"/>
              </w:rPr>
              <w:t xml:space="preserve"> experience and prevailing market conditions. </w:t>
            </w:r>
          </w:p>
          <w:p w14:paraId="62299788" w14:textId="77777777" w:rsidR="005E7200" w:rsidRDefault="005E7200" w:rsidP="008D0702">
            <w:pPr>
              <w:pStyle w:val="Default"/>
              <w:rPr>
                <w:i/>
                <w:iCs/>
                <w:sz w:val="22"/>
                <w:szCs w:val="22"/>
              </w:rPr>
            </w:pPr>
          </w:p>
          <w:p w14:paraId="27FBD7D5" w14:textId="77777777" w:rsidR="008D0702" w:rsidRDefault="008D0702" w:rsidP="008D0702">
            <w:pPr>
              <w:pStyle w:val="Default"/>
              <w:rPr>
                <w:sz w:val="22"/>
                <w:szCs w:val="22"/>
              </w:rPr>
            </w:pPr>
            <w:r>
              <w:rPr>
                <w:b/>
                <w:bCs/>
                <w:i/>
                <w:iCs/>
                <w:sz w:val="22"/>
                <w:szCs w:val="22"/>
              </w:rPr>
              <w:t xml:space="preserve">Currency Derivatives </w:t>
            </w:r>
          </w:p>
          <w:p w14:paraId="3902BD38" w14:textId="56038DF4" w:rsidR="008D0702" w:rsidRDefault="000C4B2E" w:rsidP="008D0702">
            <w:pPr>
              <w:pStyle w:val="Default"/>
              <w:rPr>
                <w:i/>
                <w:iCs/>
                <w:sz w:val="22"/>
                <w:szCs w:val="22"/>
              </w:rPr>
            </w:pPr>
            <w:r>
              <w:rPr>
                <w:i/>
                <w:iCs/>
                <w:sz w:val="22"/>
                <w:szCs w:val="22"/>
              </w:rPr>
              <w:t>T</w:t>
            </w:r>
            <w:r w:rsidR="008D0702">
              <w:rPr>
                <w:i/>
                <w:iCs/>
                <w:sz w:val="22"/>
                <w:szCs w:val="22"/>
              </w:rPr>
              <w:t xml:space="preserve">he Firm executes Forward FX orders directly </w:t>
            </w:r>
            <w:r>
              <w:rPr>
                <w:i/>
                <w:iCs/>
                <w:sz w:val="22"/>
                <w:szCs w:val="22"/>
              </w:rPr>
              <w:t xml:space="preserve">on a </w:t>
            </w:r>
            <w:r w:rsidRPr="00007BC7">
              <w:rPr>
                <w:i/>
                <w:iCs/>
                <w:sz w:val="22"/>
                <w:szCs w:val="22"/>
              </w:rPr>
              <w:t xml:space="preserve">bilateral basis </w:t>
            </w:r>
            <w:r w:rsidR="008D0702" w:rsidRPr="00007BC7">
              <w:rPr>
                <w:i/>
                <w:iCs/>
                <w:sz w:val="22"/>
                <w:szCs w:val="22"/>
              </w:rPr>
              <w:t>(i.e. over the counter (“OTC”) transactions), the key factors are price</w:t>
            </w:r>
            <w:r w:rsidR="002867E6">
              <w:rPr>
                <w:i/>
                <w:iCs/>
                <w:sz w:val="22"/>
                <w:szCs w:val="22"/>
              </w:rPr>
              <w:t>,</w:t>
            </w:r>
            <w:r w:rsidR="008D0702" w:rsidRPr="00007BC7">
              <w:rPr>
                <w:i/>
                <w:iCs/>
                <w:sz w:val="22"/>
                <w:szCs w:val="22"/>
              </w:rPr>
              <w:t xml:space="preserve"> speed,</w:t>
            </w:r>
            <w:r w:rsidR="008D0702">
              <w:rPr>
                <w:i/>
                <w:iCs/>
                <w:sz w:val="22"/>
                <w:szCs w:val="22"/>
              </w:rPr>
              <w:t xml:space="preserve"> likelihood of execution and settlement. </w:t>
            </w:r>
          </w:p>
          <w:p w14:paraId="6BD4ED0B" w14:textId="4BDC11C9" w:rsidR="008D0702" w:rsidRDefault="008D0702">
            <w:pPr>
              <w:pStyle w:val="Default"/>
              <w:rPr>
                <w:sz w:val="22"/>
                <w:szCs w:val="22"/>
              </w:rPr>
            </w:pPr>
          </w:p>
        </w:tc>
      </w:tr>
      <w:tr w:rsidR="008D0702" w14:paraId="523F450E" w14:textId="77777777" w:rsidTr="00007BC7">
        <w:trPr>
          <w:trHeight w:val="532"/>
        </w:trPr>
        <w:tc>
          <w:tcPr>
            <w:tcW w:w="6867" w:type="dxa"/>
          </w:tcPr>
          <w:p w14:paraId="7D5DBFA6" w14:textId="77777777" w:rsidR="008D0702" w:rsidRDefault="008D0702" w:rsidP="008D0702">
            <w:pPr>
              <w:pStyle w:val="Default"/>
              <w:rPr>
                <w:sz w:val="22"/>
                <w:szCs w:val="22"/>
              </w:rPr>
            </w:pPr>
            <w:r>
              <w:rPr>
                <w:b/>
                <w:bCs/>
                <w:sz w:val="22"/>
                <w:szCs w:val="22"/>
              </w:rPr>
              <w:t xml:space="preserve">A description of any close links, conflicts of interests, and common ownerships with respect to any execution venues used to execute orders </w:t>
            </w:r>
          </w:p>
          <w:p w14:paraId="582E60C3" w14:textId="77777777" w:rsidR="008D0702" w:rsidRDefault="008D0702">
            <w:pPr>
              <w:pStyle w:val="Default"/>
              <w:rPr>
                <w:b/>
                <w:bCs/>
                <w:sz w:val="22"/>
                <w:szCs w:val="22"/>
              </w:rPr>
            </w:pPr>
          </w:p>
        </w:tc>
        <w:tc>
          <w:tcPr>
            <w:tcW w:w="6867" w:type="dxa"/>
            <w:shd w:val="clear" w:color="auto" w:fill="auto"/>
          </w:tcPr>
          <w:p w14:paraId="21BBEB3C" w14:textId="77777777" w:rsidR="008D0702" w:rsidRPr="00007BC7" w:rsidRDefault="008D0702" w:rsidP="008D0702">
            <w:pPr>
              <w:pStyle w:val="Default"/>
              <w:rPr>
                <w:sz w:val="22"/>
                <w:szCs w:val="22"/>
              </w:rPr>
            </w:pPr>
            <w:r w:rsidRPr="00007BC7">
              <w:rPr>
                <w:i/>
                <w:iCs/>
                <w:sz w:val="22"/>
                <w:szCs w:val="22"/>
              </w:rPr>
              <w:t xml:space="preserve">The Firm does not have any close links, conflicts of interests or common ownerships with respect to the execution venues it uses to execute orders. </w:t>
            </w:r>
          </w:p>
          <w:p w14:paraId="3DB070BD" w14:textId="77777777" w:rsidR="008D0702" w:rsidRPr="00007BC7" w:rsidRDefault="008D0702">
            <w:pPr>
              <w:pStyle w:val="Default"/>
              <w:rPr>
                <w:i/>
                <w:iCs/>
                <w:sz w:val="22"/>
                <w:szCs w:val="22"/>
              </w:rPr>
            </w:pPr>
          </w:p>
          <w:p w14:paraId="5AA14452" w14:textId="77777777" w:rsidR="000C4B2E" w:rsidRPr="00007BC7" w:rsidRDefault="000C4B2E">
            <w:pPr>
              <w:pStyle w:val="Default"/>
              <w:rPr>
                <w:i/>
                <w:iCs/>
                <w:sz w:val="22"/>
                <w:szCs w:val="22"/>
              </w:rPr>
            </w:pPr>
            <w:r w:rsidRPr="00007BC7">
              <w:rPr>
                <w:i/>
                <w:iCs/>
                <w:sz w:val="22"/>
                <w:szCs w:val="22"/>
              </w:rPr>
              <w:lastRenderedPageBreak/>
              <w:t>However, it is noted that the Firm was directed to trade with the execution counterparty by the clients for whom Pragma executed trades.</w:t>
            </w:r>
          </w:p>
          <w:p w14:paraId="0642F861" w14:textId="14389B0F" w:rsidR="000C4B2E" w:rsidRPr="00007BC7" w:rsidRDefault="000C4B2E">
            <w:pPr>
              <w:pStyle w:val="Default"/>
              <w:rPr>
                <w:i/>
                <w:iCs/>
                <w:sz w:val="22"/>
                <w:szCs w:val="22"/>
              </w:rPr>
            </w:pPr>
            <w:r w:rsidRPr="00007BC7">
              <w:rPr>
                <w:i/>
                <w:iCs/>
                <w:sz w:val="22"/>
                <w:szCs w:val="22"/>
              </w:rPr>
              <w:t xml:space="preserve"> </w:t>
            </w:r>
          </w:p>
        </w:tc>
      </w:tr>
      <w:tr w:rsidR="008D0702" w14:paraId="457AF6EE" w14:textId="77777777" w:rsidTr="008D0702">
        <w:trPr>
          <w:trHeight w:val="532"/>
        </w:trPr>
        <w:tc>
          <w:tcPr>
            <w:tcW w:w="6867" w:type="dxa"/>
          </w:tcPr>
          <w:p w14:paraId="55BF9623" w14:textId="77777777" w:rsidR="008D0702" w:rsidRDefault="008D0702" w:rsidP="008D0702">
            <w:pPr>
              <w:pStyle w:val="Default"/>
              <w:rPr>
                <w:sz w:val="22"/>
                <w:szCs w:val="22"/>
              </w:rPr>
            </w:pPr>
            <w:r>
              <w:rPr>
                <w:b/>
                <w:bCs/>
                <w:sz w:val="22"/>
                <w:szCs w:val="22"/>
              </w:rPr>
              <w:lastRenderedPageBreak/>
              <w:t xml:space="preserve">A description of any specific arrangements with any execution venues regarding payments made or received, discounts, rebates or non-monetary benefits received </w:t>
            </w:r>
          </w:p>
          <w:p w14:paraId="0AC99ED3" w14:textId="77777777" w:rsidR="008D0702" w:rsidRDefault="008D0702">
            <w:pPr>
              <w:pStyle w:val="Default"/>
              <w:rPr>
                <w:b/>
                <w:bCs/>
                <w:sz w:val="22"/>
                <w:szCs w:val="22"/>
              </w:rPr>
            </w:pPr>
          </w:p>
        </w:tc>
        <w:tc>
          <w:tcPr>
            <w:tcW w:w="6867" w:type="dxa"/>
          </w:tcPr>
          <w:p w14:paraId="2D2D3446" w14:textId="0D285D8A" w:rsidR="008D0702" w:rsidRDefault="003960DD" w:rsidP="008D0702">
            <w:pPr>
              <w:pStyle w:val="Default"/>
              <w:rPr>
                <w:sz w:val="22"/>
                <w:szCs w:val="22"/>
              </w:rPr>
            </w:pPr>
            <w:r>
              <w:rPr>
                <w:i/>
                <w:iCs/>
                <w:sz w:val="22"/>
                <w:szCs w:val="22"/>
              </w:rPr>
              <w:t>P</w:t>
            </w:r>
            <w:r w:rsidR="000C4B2E">
              <w:rPr>
                <w:i/>
                <w:iCs/>
                <w:sz w:val="22"/>
                <w:szCs w:val="22"/>
              </w:rPr>
              <w:t>ragma</w:t>
            </w:r>
            <w:r w:rsidR="008D0702">
              <w:rPr>
                <w:i/>
                <w:iCs/>
                <w:sz w:val="22"/>
                <w:szCs w:val="22"/>
              </w:rPr>
              <w:t xml:space="preserve"> has not entered into any arrangements with its execution venues regarding payments made or received, discounts or non-monetary benefits that would compromise its ability to meet its obligations in regard to best execution, conflicts of interest or inducements. </w:t>
            </w:r>
          </w:p>
          <w:p w14:paraId="6F7D2EE9" w14:textId="77777777" w:rsidR="000C4B2E" w:rsidRDefault="000C4B2E" w:rsidP="008D0702">
            <w:pPr>
              <w:pStyle w:val="Default"/>
              <w:rPr>
                <w:i/>
                <w:iCs/>
                <w:sz w:val="22"/>
                <w:szCs w:val="22"/>
              </w:rPr>
            </w:pPr>
          </w:p>
          <w:p w14:paraId="3A3B2611" w14:textId="1ED065D0" w:rsidR="008D0702" w:rsidRDefault="008D0702" w:rsidP="008D0702">
            <w:pPr>
              <w:pStyle w:val="Default"/>
              <w:rPr>
                <w:i/>
                <w:iCs/>
                <w:sz w:val="22"/>
                <w:szCs w:val="22"/>
              </w:rPr>
            </w:pPr>
            <w:r w:rsidRPr="003C7050">
              <w:rPr>
                <w:i/>
                <w:iCs/>
                <w:sz w:val="22"/>
                <w:szCs w:val="22"/>
              </w:rPr>
              <w:t xml:space="preserve">The Firm </w:t>
            </w:r>
            <w:r w:rsidR="00007BC7" w:rsidRPr="003C7050">
              <w:rPr>
                <w:i/>
                <w:iCs/>
                <w:sz w:val="22"/>
                <w:szCs w:val="22"/>
              </w:rPr>
              <w:t>does not consume research</w:t>
            </w:r>
            <w:r w:rsidR="003C7050" w:rsidRPr="003C7050">
              <w:rPr>
                <w:i/>
                <w:iCs/>
                <w:sz w:val="22"/>
                <w:szCs w:val="22"/>
              </w:rPr>
              <w:t>,</w:t>
            </w:r>
            <w:r w:rsidR="00007BC7" w:rsidRPr="003C7050">
              <w:rPr>
                <w:i/>
                <w:iCs/>
                <w:sz w:val="22"/>
                <w:szCs w:val="22"/>
              </w:rPr>
              <w:t xml:space="preserve"> but if it did</w:t>
            </w:r>
            <w:r w:rsidR="00BD55CB">
              <w:rPr>
                <w:i/>
                <w:iCs/>
                <w:sz w:val="22"/>
                <w:szCs w:val="22"/>
              </w:rPr>
              <w:t>,</w:t>
            </w:r>
            <w:r w:rsidR="00007BC7" w:rsidRPr="003C7050">
              <w:rPr>
                <w:i/>
                <w:iCs/>
                <w:sz w:val="22"/>
                <w:szCs w:val="22"/>
              </w:rPr>
              <w:t xml:space="preserve"> it would </w:t>
            </w:r>
            <w:r w:rsidRPr="003C7050">
              <w:rPr>
                <w:i/>
                <w:iCs/>
                <w:sz w:val="22"/>
                <w:szCs w:val="22"/>
              </w:rPr>
              <w:t xml:space="preserve">pay for </w:t>
            </w:r>
            <w:r w:rsidR="00007BC7" w:rsidRPr="003C7050">
              <w:rPr>
                <w:i/>
                <w:iCs/>
                <w:sz w:val="22"/>
                <w:szCs w:val="22"/>
              </w:rPr>
              <w:t>it</w:t>
            </w:r>
            <w:r w:rsidR="003C7050">
              <w:rPr>
                <w:i/>
                <w:iCs/>
                <w:sz w:val="22"/>
                <w:szCs w:val="22"/>
              </w:rPr>
              <w:t>,</w:t>
            </w:r>
            <w:r w:rsidR="001618EA" w:rsidRPr="003C7050">
              <w:rPr>
                <w:i/>
                <w:iCs/>
                <w:sz w:val="22"/>
                <w:szCs w:val="22"/>
              </w:rPr>
              <w:t xml:space="preserve"> </w:t>
            </w:r>
            <w:r w:rsidRPr="003C7050">
              <w:rPr>
                <w:i/>
                <w:iCs/>
                <w:sz w:val="22"/>
                <w:szCs w:val="22"/>
              </w:rPr>
              <w:t xml:space="preserve">from </w:t>
            </w:r>
            <w:r w:rsidR="003C7050">
              <w:rPr>
                <w:i/>
                <w:iCs/>
                <w:sz w:val="22"/>
                <w:szCs w:val="22"/>
              </w:rPr>
              <w:t>Pragma’s</w:t>
            </w:r>
            <w:r w:rsidRPr="003C7050">
              <w:rPr>
                <w:i/>
                <w:iCs/>
                <w:sz w:val="22"/>
                <w:szCs w:val="22"/>
              </w:rPr>
              <w:t xml:space="preserve"> own </w:t>
            </w:r>
            <w:r w:rsidR="000C4B2E" w:rsidRPr="003C7050">
              <w:rPr>
                <w:i/>
                <w:iCs/>
                <w:sz w:val="22"/>
                <w:szCs w:val="22"/>
              </w:rPr>
              <w:t>resources</w:t>
            </w:r>
            <w:r w:rsidRPr="003C7050">
              <w:rPr>
                <w:i/>
                <w:iCs/>
                <w:sz w:val="22"/>
                <w:szCs w:val="22"/>
              </w:rPr>
              <w:t xml:space="preserve"> and </w:t>
            </w:r>
            <w:r w:rsidR="003C7050">
              <w:rPr>
                <w:i/>
                <w:iCs/>
                <w:sz w:val="22"/>
                <w:szCs w:val="22"/>
              </w:rPr>
              <w:t xml:space="preserve">relevant </w:t>
            </w:r>
            <w:r w:rsidRPr="003C7050">
              <w:rPr>
                <w:i/>
                <w:iCs/>
                <w:sz w:val="22"/>
                <w:szCs w:val="22"/>
              </w:rPr>
              <w:t xml:space="preserve">arrangements </w:t>
            </w:r>
            <w:r w:rsidR="001618EA" w:rsidRPr="003C7050">
              <w:rPr>
                <w:i/>
                <w:iCs/>
                <w:sz w:val="22"/>
                <w:szCs w:val="22"/>
              </w:rPr>
              <w:t>w</w:t>
            </w:r>
            <w:r w:rsidR="003C7050">
              <w:rPr>
                <w:i/>
                <w:iCs/>
                <w:sz w:val="22"/>
                <w:szCs w:val="22"/>
              </w:rPr>
              <w:t>ould be put</w:t>
            </w:r>
            <w:r w:rsidR="001618EA" w:rsidRPr="003C7050">
              <w:rPr>
                <w:i/>
                <w:iCs/>
                <w:sz w:val="22"/>
                <w:szCs w:val="22"/>
              </w:rPr>
              <w:t xml:space="preserve"> </w:t>
            </w:r>
            <w:r w:rsidRPr="003C7050">
              <w:rPr>
                <w:i/>
                <w:iCs/>
                <w:sz w:val="22"/>
                <w:szCs w:val="22"/>
              </w:rPr>
              <w:t xml:space="preserve">in place to remunerate </w:t>
            </w:r>
            <w:r w:rsidR="003C7050">
              <w:rPr>
                <w:i/>
                <w:iCs/>
                <w:sz w:val="22"/>
                <w:szCs w:val="22"/>
              </w:rPr>
              <w:t>providers</w:t>
            </w:r>
            <w:r w:rsidRPr="003C7050">
              <w:rPr>
                <w:i/>
                <w:iCs/>
                <w:sz w:val="22"/>
                <w:szCs w:val="22"/>
              </w:rPr>
              <w:t xml:space="preserve"> for the receipt of such research. </w:t>
            </w:r>
            <w:r w:rsidR="000C4B2E" w:rsidRPr="003C7050">
              <w:rPr>
                <w:i/>
                <w:iCs/>
                <w:sz w:val="22"/>
                <w:szCs w:val="22"/>
              </w:rPr>
              <w:t xml:space="preserve"> Where</w:t>
            </w:r>
            <w:r w:rsidRPr="003C7050">
              <w:rPr>
                <w:i/>
                <w:iCs/>
                <w:sz w:val="22"/>
                <w:szCs w:val="22"/>
              </w:rPr>
              <w:t xml:space="preserve">, </w:t>
            </w:r>
            <w:r w:rsidR="003960DD" w:rsidRPr="003C7050">
              <w:rPr>
                <w:i/>
                <w:iCs/>
                <w:sz w:val="22"/>
                <w:szCs w:val="22"/>
              </w:rPr>
              <w:t>P</w:t>
            </w:r>
            <w:r w:rsidR="000C4B2E" w:rsidRPr="003C7050">
              <w:rPr>
                <w:i/>
                <w:iCs/>
                <w:sz w:val="22"/>
                <w:szCs w:val="22"/>
              </w:rPr>
              <w:t xml:space="preserve">ragma </w:t>
            </w:r>
            <w:r w:rsidRPr="003C7050">
              <w:rPr>
                <w:i/>
                <w:iCs/>
                <w:sz w:val="22"/>
                <w:szCs w:val="22"/>
              </w:rPr>
              <w:t>receive</w:t>
            </w:r>
            <w:r w:rsidR="000C4B2E" w:rsidRPr="003C7050">
              <w:rPr>
                <w:i/>
                <w:iCs/>
                <w:sz w:val="22"/>
                <w:szCs w:val="22"/>
              </w:rPr>
              <w:t>s</w:t>
            </w:r>
            <w:r>
              <w:rPr>
                <w:i/>
                <w:iCs/>
                <w:sz w:val="22"/>
                <w:szCs w:val="22"/>
              </w:rPr>
              <w:t xml:space="preserve"> minor non-monetary benefits from execution venues</w:t>
            </w:r>
            <w:r w:rsidR="000C4B2E">
              <w:rPr>
                <w:i/>
                <w:iCs/>
                <w:sz w:val="22"/>
                <w:szCs w:val="22"/>
              </w:rPr>
              <w:t xml:space="preserve">, this </w:t>
            </w:r>
            <w:r w:rsidR="00BD55CB">
              <w:rPr>
                <w:i/>
                <w:iCs/>
                <w:sz w:val="22"/>
                <w:szCs w:val="22"/>
              </w:rPr>
              <w:t>is in line</w:t>
            </w:r>
            <w:r>
              <w:rPr>
                <w:i/>
                <w:iCs/>
                <w:sz w:val="22"/>
                <w:szCs w:val="22"/>
              </w:rPr>
              <w:t xml:space="preserve"> with the Firm’s Inducements policy. </w:t>
            </w:r>
          </w:p>
          <w:p w14:paraId="73DECD68" w14:textId="04D17DED" w:rsidR="008D0702" w:rsidRDefault="008D0702" w:rsidP="008D0702">
            <w:pPr>
              <w:pStyle w:val="Default"/>
              <w:rPr>
                <w:i/>
                <w:iCs/>
                <w:sz w:val="22"/>
                <w:szCs w:val="22"/>
              </w:rPr>
            </w:pPr>
          </w:p>
        </w:tc>
      </w:tr>
      <w:tr w:rsidR="008D0702" w14:paraId="5D76F544" w14:textId="77777777" w:rsidTr="008D0702">
        <w:trPr>
          <w:trHeight w:val="532"/>
        </w:trPr>
        <w:tc>
          <w:tcPr>
            <w:tcW w:w="6867" w:type="dxa"/>
          </w:tcPr>
          <w:p w14:paraId="64A262B7" w14:textId="77777777" w:rsidR="008D0702" w:rsidRDefault="008D0702" w:rsidP="008D0702">
            <w:pPr>
              <w:pStyle w:val="Default"/>
              <w:rPr>
                <w:sz w:val="22"/>
                <w:szCs w:val="22"/>
              </w:rPr>
            </w:pPr>
            <w:r>
              <w:rPr>
                <w:b/>
                <w:bCs/>
                <w:sz w:val="22"/>
                <w:szCs w:val="22"/>
              </w:rPr>
              <w:t xml:space="preserve">An explanation of the factors that led to a change in the list of execution venues listed in the firm’s execution policy, if such a change occurred </w:t>
            </w:r>
          </w:p>
          <w:p w14:paraId="6CDF825A" w14:textId="77777777" w:rsidR="008D0702" w:rsidRDefault="008D0702">
            <w:pPr>
              <w:pStyle w:val="Default"/>
              <w:rPr>
                <w:b/>
                <w:bCs/>
                <w:sz w:val="22"/>
                <w:szCs w:val="22"/>
              </w:rPr>
            </w:pPr>
          </w:p>
        </w:tc>
        <w:tc>
          <w:tcPr>
            <w:tcW w:w="6867" w:type="dxa"/>
          </w:tcPr>
          <w:p w14:paraId="61D212EB" w14:textId="1921D7B4" w:rsidR="008D0702" w:rsidRDefault="00141B2C" w:rsidP="008D0702">
            <w:pPr>
              <w:pStyle w:val="Default"/>
              <w:rPr>
                <w:sz w:val="22"/>
                <w:szCs w:val="22"/>
              </w:rPr>
            </w:pPr>
            <w:r>
              <w:rPr>
                <w:i/>
                <w:iCs/>
                <w:sz w:val="22"/>
                <w:szCs w:val="22"/>
              </w:rPr>
              <w:t>Pragma used the same execution venue as selected by the Firm’s clients in the previous year</w:t>
            </w:r>
            <w:r w:rsidR="008D0702">
              <w:rPr>
                <w:i/>
                <w:iCs/>
                <w:sz w:val="22"/>
                <w:szCs w:val="22"/>
              </w:rPr>
              <w:t xml:space="preserve">. Broker relationships </w:t>
            </w:r>
            <w:r>
              <w:rPr>
                <w:i/>
                <w:iCs/>
                <w:sz w:val="22"/>
                <w:szCs w:val="22"/>
              </w:rPr>
              <w:t>would otherwise be</w:t>
            </w:r>
            <w:r w:rsidR="008D0702">
              <w:rPr>
                <w:i/>
                <w:iCs/>
                <w:sz w:val="22"/>
                <w:szCs w:val="22"/>
              </w:rPr>
              <w:t xml:space="preserve"> reviewed on an ongoing basis by </w:t>
            </w:r>
            <w:r w:rsidR="003960DD">
              <w:rPr>
                <w:i/>
                <w:iCs/>
                <w:sz w:val="22"/>
                <w:szCs w:val="22"/>
              </w:rPr>
              <w:t>P</w:t>
            </w:r>
            <w:r>
              <w:rPr>
                <w:i/>
                <w:iCs/>
                <w:sz w:val="22"/>
                <w:szCs w:val="22"/>
              </w:rPr>
              <w:t>ragma’s</w:t>
            </w:r>
            <w:r w:rsidR="008D0702">
              <w:rPr>
                <w:i/>
                <w:iCs/>
                <w:sz w:val="22"/>
                <w:szCs w:val="22"/>
              </w:rPr>
              <w:t xml:space="preserve"> </w:t>
            </w:r>
            <w:r w:rsidR="001618EA">
              <w:rPr>
                <w:i/>
                <w:iCs/>
                <w:sz w:val="22"/>
                <w:szCs w:val="22"/>
              </w:rPr>
              <w:t>Board of Directors</w:t>
            </w:r>
            <w:r w:rsidR="008D0702">
              <w:rPr>
                <w:i/>
                <w:iCs/>
                <w:sz w:val="22"/>
                <w:szCs w:val="22"/>
              </w:rPr>
              <w:t xml:space="preserve">. </w:t>
            </w:r>
          </w:p>
          <w:p w14:paraId="5598AECE" w14:textId="77777777" w:rsidR="008D0702" w:rsidRDefault="008D0702">
            <w:pPr>
              <w:pStyle w:val="Default"/>
              <w:rPr>
                <w:i/>
                <w:iCs/>
                <w:sz w:val="22"/>
                <w:szCs w:val="22"/>
              </w:rPr>
            </w:pPr>
          </w:p>
        </w:tc>
      </w:tr>
      <w:tr w:rsidR="008D0702" w14:paraId="5859B34D" w14:textId="77777777" w:rsidTr="008D0702">
        <w:trPr>
          <w:trHeight w:val="532"/>
        </w:trPr>
        <w:tc>
          <w:tcPr>
            <w:tcW w:w="6867" w:type="dxa"/>
          </w:tcPr>
          <w:p w14:paraId="1209C006" w14:textId="77777777" w:rsidR="008D0702" w:rsidRDefault="008D0702" w:rsidP="008D0702">
            <w:pPr>
              <w:pStyle w:val="Default"/>
              <w:rPr>
                <w:sz w:val="22"/>
                <w:szCs w:val="22"/>
              </w:rPr>
            </w:pPr>
            <w:r>
              <w:rPr>
                <w:b/>
                <w:bCs/>
                <w:sz w:val="22"/>
                <w:szCs w:val="22"/>
              </w:rPr>
              <w:t xml:space="preserve">An explanation of how order execution differs according to client categorisation, where the firm treats categories of clients differently and where it may affect the order execution arrangements </w:t>
            </w:r>
          </w:p>
          <w:p w14:paraId="7A89E827" w14:textId="77777777" w:rsidR="008D0702" w:rsidRDefault="008D0702">
            <w:pPr>
              <w:pStyle w:val="Default"/>
              <w:rPr>
                <w:b/>
                <w:bCs/>
                <w:sz w:val="22"/>
                <w:szCs w:val="22"/>
              </w:rPr>
            </w:pPr>
          </w:p>
        </w:tc>
        <w:tc>
          <w:tcPr>
            <w:tcW w:w="6867" w:type="dxa"/>
          </w:tcPr>
          <w:p w14:paraId="4989148B" w14:textId="7CBA01B8" w:rsidR="001F2D41" w:rsidRDefault="00141B2C" w:rsidP="001F2D41">
            <w:pPr>
              <w:pStyle w:val="Default"/>
              <w:rPr>
                <w:sz w:val="22"/>
                <w:szCs w:val="22"/>
              </w:rPr>
            </w:pPr>
            <w:r>
              <w:rPr>
                <w:i/>
                <w:iCs/>
                <w:sz w:val="22"/>
                <w:szCs w:val="22"/>
              </w:rPr>
              <w:t>Pragma only has Professional Clients</w:t>
            </w:r>
            <w:r w:rsidR="001F2D41">
              <w:rPr>
                <w:i/>
                <w:iCs/>
                <w:sz w:val="22"/>
                <w:szCs w:val="22"/>
              </w:rPr>
              <w:t xml:space="preserve">. </w:t>
            </w:r>
          </w:p>
          <w:p w14:paraId="179C0ADE" w14:textId="77777777" w:rsidR="008D0702" w:rsidRDefault="008D0702">
            <w:pPr>
              <w:pStyle w:val="Default"/>
              <w:rPr>
                <w:i/>
                <w:iCs/>
                <w:sz w:val="22"/>
                <w:szCs w:val="22"/>
              </w:rPr>
            </w:pPr>
          </w:p>
        </w:tc>
      </w:tr>
      <w:tr w:rsidR="008D0702" w14:paraId="374A2E28" w14:textId="77777777" w:rsidTr="008D0702">
        <w:trPr>
          <w:trHeight w:val="532"/>
        </w:trPr>
        <w:tc>
          <w:tcPr>
            <w:tcW w:w="6867" w:type="dxa"/>
          </w:tcPr>
          <w:p w14:paraId="01E3DB3B" w14:textId="7F380336" w:rsidR="001F2D41" w:rsidRDefault="001F2D41" w:rsidP="001F2D41">
            <w:pPr>
              <w:pStyle w:val="Default"/>
              <w:rPr>
                <w:sz w:val="22"/>
                <w:szCs w:val="22"/>
              </w:rPr>
            </w:pPr>
            <w:r>
              <w:rPr>
                <w:b/>
                <w:bCs/>
                <w:sz w:val="22"/>
                <w:szCs w:val="22"/>
              </w:rPr>
              <w:t xml:space="preserve">An explanation of how the Firm has used any data or tools relating to the quality of execution, including any data published under Commission Delegated Regulation (EU) 2017/575 </w:t>
            </w:r>
          </w:p>
          <w:p w14:paraId="7D9FB8F3" w14:textId="6AF40D6A" w:rsidR="001F2D41" w:rsidRDefault="001F2D41" w:rsidP="001F2D41">
            <w:pPr>
              <w:pStyle w:val="Default"/>
              <w:rPr>
                <w:sz w:val="22"/>
                <w:szCs w:val="22"/>
              </w:rPr>
            </w:pPr>
          </w:p>
          <w:p w14:paraId="5C6C40B8" w14:textId="77777777" w:rsidR="008D0702" w:rsidRDefault="008D0702">
            <w:pPr>
              <w:pStyle w:val="Default"/>
              <w:rPr>
                <w:b/>
                <w:bCs/>
                <w:sz w:val="22"/>
                <w:szCs w:val="22"/>
              </w:rPr>
            </w:pPr>
          </w:p>
        </w:tc>
        <w:tc>
          <w:tcPr>
            <w:tcW w:w="6867" w:type="dxa"/>
          </w:tcPr>
          <w:p w14:paraId="45448455" w14:textId="7E15CE2D" w:rsidR="001F2D41" w:rsidRDefault="00EC5ED5" w:rsidP="001F2D41">
            <w:pPr>
              <w:pStyle w:val="Default"/>
              <w:rPr>
                <w:sz w:val="22"/>
                <w:szCs w:val="22"/>
              </w:rPr>
            </w:pPr>
            <w:r>
              <w:rPr>
                <w:i/>
                <w:iCs/>
                <w:sz w:val="22"/>
                <w:szCs w:val="22"/>
              </w:rPr>
              <w:t>Pragma has reviewed this requirement and does not consider that any useful data is currently available for the asset class</w:t>
            </w:r>
            <w:r w:rsidR="001618EA">
              <w:rPr>
                <w:i/>
                <w:iCs/>
                <w:sz w:val="22"/>
                <w:szCs w:val="22"/>
              </w:rPr>
              <w:t>es</w:t>
            </w:r>
            <w:r>
              <w:rPr>
                <w:i/>
                <w:iCs/>
                <w:sz w:val="22"/>
                <w:szCs w:val="22"/>
              </w:rPr>
              <w:t xml:space="preserve"> it currently trades. </w:t>
            </w:r>
          </w:p>
          <w:p w14:paraId="3FFBBB38" w14:textId="77777777" w:rsidR="008D0702" w:rsidRDefault="008D0702">
            <w:pPr>
              <w:pStyle w:val="Default"/>
              <w:rPr>
                <w:i/>
                <w:iCs/>
                <w:sz w:val="22"/>
                <w:szCs w:val="22"/>
              </w:rPr>
            </w:pPr>
          </w:p>
        </w:tc>
      </w:tr>
      <w:tr w:rsidR="001F2D41" w14:paraId="4ECE0A75" w14:textId="77777777" w:rsidTr="008D0702">
        <w:trPr>
          <w:trHeight w:val="532"/>
        </w:trPr>
        <w:tc>
          <w:tcPr>
            <w:tcW w:w="6867" w:type="dxa"/>
          </w:tcPr>
          <w:p w14:paraId="73AB1C5B" w14:textId="77777777" w:rsidR="001F2D41" w:rsidRDefault="001F2D41" w:rsidP="001F2D41">
            <w:pPr>
              <w:pStyle w:val="Default"/>
              <w:rPr>
                <w:sz w:val="22"/>
                <w:szCs w:val="22"/>
              </w:rPr>
            </w:pPr>
            <w:r>
              <w:rPr>
                <w:b/>
                <w:bCs/>
                <w:sz w:val="22"/>
                <w:szCs w:val="22"/>
              </w:rPr>
              <w:t xml:space="preserve">Where applicable, an explanation of how the investment firm has used output of a consolidated tape provider established under Article 65 of Directive 2014/65/EU. </w:t>
            </w:r>
          </w:p>
          <w:p w14:paraId="4E456634" w14:textId="77777777" w:rsidR="001F2D41" w:rsidRDefault="001F2D41" w:rsidP="001F2D41">
            <w:pPr>
              <w:pStyle w:val="Default"/>
              <w:rPr>
                <w:b/>
                <w:bCs/>
                <w:sz w:val="22"/>
                <w:szCs w:val="22"/>
              </w:rPr>
            </w:pPr>
          </w:p>
        </w:tc>
        <w:tc>
          <w:tcPr>
            <w:tcW w:w="6867" w:type="dxa"/>
          </w:tcPr>
          <w:p w14:paraId="427E20E6" w14:textId="5E7DCD38" w:rsidR="001F2D41" w:rsidRDefault="003960DD" w:rsidP="001F2D41">
            <w:pPr>
              <w:pStyle w:val="Default"/>
              <w:rPr>
                <w:sz w:val="22"/>
                <w:szCs w:val="22"/>
              </w:rPr>
            </w:pPr>
            <w:r>
              <w:rPr>
                <w:i/>
                <w:iCs/>
                <w:sz w:val="22"/>
                <w:szCs w:val="22"/>
              </w:rPr>
              <w:t>P</w:t>
            </w:r>
            <w:r w:rsidR="00141B2C">
              <w:rPr>
                <w:i/>
                <w:iCs/>
                <w:sz w:val="22"/>
                <w:szCs w:val="22"/>
              </w:rPr>
              <w:t>ragma</w:t>
            </w:r>
            <w:r w:rsidR="001F2D41">
              <w:rPr>
                <w:i/>
                <w:iCs/>
                <w:sz w:val="22"/>
                <w:szCs w:val="22"/>
              </w:rPr>
              <w:t xml:space="preserve"> do</w:t>
            </w:r>
            <w:r w:rsidR="00141B2C">
              <w:rPr>
                <w:i/>
                <w:iCs/>
                <w:sz w:val="22"/>
                <w:szCs w:val="22"/>
              </w:rPr>
              <w:t>es</w:t>
            </w:r>
            <w:r w:rsidR="001F2D41">
              <w:rPr>
                <w:i/>
                <w:iCs/>
                <w:sz w:val="22"/>
                <w:szCs w:val="22"/>
              </w:rPr>
              <w:t xml:space="preserve"> not use any output from consolidated tape providers. </w:t>
            </w:r>
          </w:p>
          <w:p w14:paraId="576EC024" w14:textId="77777777" w:rsidR="001F2D41" w:rsidRDefault="001F2D41" w:rsidP="001F2D41">
            <w:pPr>
              <w:pStyle w:val="Default"/>
              <w:rPr>
                <w:i/>
                <w:iCs/>
                <w:sz w:val="22"/>
                <w:szCs w:val="22"/>
              </w:rPr>
            </w:pPr>
          </w:p>
        </w:tc>
      </w:tr>
    </w:tbl>
    <w:p w14:paraId="140E306F" w14:textId="77777777" w:rsidR="008C6289" w:rsidRDefault="00620A1D"/>
    <w:sectPr w:rsidR="008C6289" w:rsidSect="008D07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A1BB"/>
    <w:multiLevelType w:val="hybridMultilevel"/>
    <w:tmpl w:val="7100E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8408A5"/>
    <w:multiLevelType w:val="hybridMultilevel"/>
    <w:tmpl w:val="B93BAE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02"/>
    <w:rsid w:val="00007BC7"/>
    <w:rsid w:val="000C4B2E"/>
    <w:rsid w:val="00141B2C"/>
    <w:rsid w:val="001618EA"/>
    <w:rsid w:val="001F2D41"/>
    <w:rsid w:val="002867E6"/>
    <w:rsid w:val="003960DD"/>
    <w:rsid w:val="003C7050"/>
    <w:rsid w:val="004E7D38"/>
    <w:rsid w:val="005E0AD3"/>
    <w:rsid w:val="005E7200"/>
    <w:rsid w:val="00620A1D"/>
    <w:rsid w:val="006A4812"/>
    <w:rsid w:val="007D588B"/>
    <w:rsid w:val="00804A1E"/>
    <w:rsid w:val="008D0702"/>
    <w:rsid w:val="008D5167"/>
    <w:rsid w:val="009830F7"/>
    <w:rsid w:val="00AC4FB2"/>
    <w:rsid w:val="00AD62D1"/>
    <w:rsid w:val="00BD55CB"/>
    <w:rsid w:val="00EA6A36"/>
    <w:rsid w:val="00EC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BAC1"/>
  <w15:chartTrackingRefBased/>
  <w15:docId w15:val="{26A52698-73CE-454D-A036-89218B73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7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5FD3-10B2-4A65-8935-7DA73E53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Vasantha Rajasooriyar</dc:creator>
  <cp:keywords/>
  <dc:description/>
  <cp:lastModifiedBy>Vasantha Rajasooriyar</cp:lastModifiedBy>
  <cp:revision>3</cp:revision>
  <dcterms:created xsi:type="dcterms:W3CDTF">2020-09-18T11:44:00Z</dcterms:created>
  <dcterms:modified xsi:type="dcterms:W3CDTF">2020-09-18T11:44:00Z</dcterms:modified>
</cp:coreProperties>
</file>